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требования, суды исходили из законности оспариваемого решения о привлечении к ответственности за совершение налогового правонарушения в связи с непредставлением обществом документов, подтверждающих наличие безнадежной дебиторской задолженности и ее размер. Вопреки доводам жалобы, заявление о признании задолженности безнадежной в отсутствие соответствующих доказательств не позволяет включить ее в состав внереализационных расходов. Одновременно с подачей кассационной жалобы в Верховный Суд Российской Федерации заявитель ходатайствовал о направлении запроса в Конституционный Суд Российской Федерации. При этом заявитель не привел доводов, препятствующих самостоятельному обращению в Конституционный Суд Российской Федерации в установленном законом порядке. Оснований для обращения в Конституционный Суд Российской Федерации в порядке статьи 101 Федерального конституционного закона от 21 июля 1994 г. № 1-ФКЗ «О Конституционном Суде Российской Федерации» и части 3 статьи 13 Арбитражного процессуального кодекса Российской Федерации с соответствующим запросом не усматривается.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Группа компаний «Строительное Управление-555»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ГРУППА КОМПАНИЙ "СТРОИТЕЛЬНОЕ УПРАВЛЕНИЕ-555" (подробнее) Ответчики: ИНСПЕКЦИЯ ФЕДЕРАЛЬНОЙ НАЛОГОВОЙ СЛУЖБЫ №18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