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Согласно подпункту 4 пункта 1 статьи 333.37 Налогового кодекса Российской Федерации должник освобожден от уплаты государственной пошлины по делам, рассматриваемым Верховным Судом Российской Федерации.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Петросяну Григору Левоновичу срок подачи кассационной жалобы на постановление Пятнадцатого арбитражного апелляционного суда от 20 марта 2024 г. и постановление Арбитражного суда Северо-Кавказского округа от 10 июня 2024г. по делу № А32-26835/2021 Арбитражного суда Краснодарского края. Судья Верховного Суда Российской Федерации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