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указанный судебный акт была подана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а также с нарушением требований, установленных статьей 291.3 АПК РФ (отсутствие документов, подтверждающих уплату государственной пошлины, и копий принятых по спору судебных актов), в связи с чем возвращена письмом Верховного Суда Российской Федерации от 5 августа 2024 года. Настоящая кассационная жалоба подана (согласно сведениям почтового идентификатора) 6 сентября 2024 года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2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является постановление Арбитражного суда Западно-Сибирского округа от 22 мая 2024 года, двухмесячный срок на подачу кассационной жалобы истек 22 июля 2024 года, тогда как жалоба подана 6 сентября 2024 года. Одновременно с подачей жалобы обществом заявлено ходатайство о восстановлении пропущенного процессуального срока со ссылкой на неоднократное обращение через систему «Мой арбитр» и позднее получение письма о возвращении жалобы. Между тем, указанные обстоятельства не являются уважительными причинами пропуска срока, установленного статьей 291.2 АПК РФ, поскольку ненадлежащее обращение и отклонение жалоб, поданных в суд с нарушением требований процессуального законодательства, не свидетельствует об уважительности причины пропуска срока подачи жалобы и не может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ООО «Коргон»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