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жалобой на 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учреждения «Улан-Удэстройзаказчик» об отсрочке уплаты государственной пошлины за рассмотрение кассационной жалобы удовлетворить. Предоставить муниципальному учреждению «Улан-Удэстройзаказчик» отсрочку уплаты государственной пошлины до окончания производства по кассационной жалобе на постановление Четвертого арбитражного апелляционного суда от 23.01.2024 и постановление Арбитражного суда Восточно-Сибирского округа от 29.05.2024 по делу № А10-4221/2023. Судья Верховного Суда Российской Федерации Д.В. Тютин Суд: Верховный Суд РФ (подробнее) Истцы: Прокурор Республики Бурятия в интересах МО ГО "город Улан-Удэ и неопределенного круга лиц (подробнее) Ответчики: ООО Фортуна (подробнее) Улан-Удэстройзаказчик (подробнее) Судьи дела: Тютин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