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«Всероссийский научно-исследовательский институт автоматики имени Н.Л. Духова» и акционерному обществу «Концерн «Созвездие»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