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Поскольку в передаче кассационной жалобы для рассмотрения в судебном заседании отказано, ходатайство об участии в судебном заседании путем использования систем видеоконференц-связи рассмотрению не подлежит.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«СВМ Проект»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"СВМ ПРОЕКТ" (подробнее) Ответчики: АО "Уральская Сталь"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