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заявителем в электронном виде 02 сентября 2024 года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срока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в рамках обособленного спора является постановление Арбитражного суда Северо-Кавказского округа от 19 июня 2024 года, вступившее в законную силу, согласно части 5 статьи 289 АПК РФ, со дня его принятия, следовательно, двухмесячный срок на подачу кассационной жалобы истек 19 августа 2024 года. Одновременно с подачей жалобы Набиевой Ю.А. заявлено ходатайство о восстановлении пропущенного процессуального срока. В качестве причины пропуска срока указано позднее опубликование судебного акта. Между тем, обжалуемое постановление окружного суда от 19 июня 2024 года опубликовано в информационно-телекоммуникационной сети «Интернет» своевременно – 20 июня 2024 года и с момента публикации судебного акта заявитель имел достаточный промежуток времени (два месяца) для подготовки и подачи кассационной жалобы в установленный процессуальным законодательством срок. Таким образом,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срока, установленного статьей 291.2 АПК РФ.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возвращению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Набиевой Юлии Александровны в удовлетворении ходатайства о восстановлении пропущенного процессуального срока подачи кассационной жалобы. Жалобу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