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 января 2024 г., оставленным без изменения постановлением Девятого арбитражного апелляционного суда от 1 апреля 2024 г., завершена процедура реализации имущества ФИО1 с освобождением должника от дальнейшего исполнения требований кредиторов, в том числе требований кредиторов, не заявленных в ходе реализации имущества должника. Арбитражный суд Московского округа постановлением от 19 июня 2024 г. отменил принятые судебные акты в части применения правила об освобождении должника от дальнейшего исполнения требований кредиторов, дело в отмененной части направил на новое рассмотрение в Арбитражный суд города Москвы. ФИО1 обратилась в Судебную коллегию Верховного Суда Российской Федерации с кассационной жалобой на постановление суда округа в части направления дела на новое рассмотрение,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в части применения в отношении должника правила об освобождении от исполнения обязательств и направляя обособленный спор в указанной части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ТСН "Городок"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