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Сластунина Станислава Александровича в Арбитражный суд Саратовской области обратился финансовый управляющий имуществом должника с уточненным ходатайством об истребовании у должника и Овчинниковой Е.А. (супруги должника) транспортных средств и маломерного судна типа «Ассоль». Определением Арбитражного суда Саратовской области от 16 августа 2023 г., оставленным без изменения постановлением Двенадцатого арбитражного апелляционного суда от 16 января 2024 г. и постановлением Арбитражного суда Поволжского округа от 4 апреля 2024 г., заявление удовлетворено в части истребования у супруги должника транспортного средства Фольксваген Tiguan; в удовлетворении заявления в остальной части отказано. Овчинникова Е.А.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в части, суды руководствовались статьями 213.9, 213.26 Федерального закона от 26 октября 2002 г. № 127-ФЗ «О несостоятельности (банкротстве)», пунктами 41, 42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истребованный у супруги должника автомобиль приобретен в период брака, в силу пункта 1 статьи 34 Семейного кодекса Российской Федерации является совместно нажитым имуществом и подлежит включению в конкурсную массу.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