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заявителя на указанные судебные акты возвращена письмом Верховного Суда Российской Федерации от 23 июля 2024 года на основании пункта 1 части 1 статьи 291.5 Арбитражного процессуального кодекса Российской Федерации в связи с нарушением требований к ее подаче. Настоящая кассационная жалоба подана в электронном виде 30.08.2024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является постановление Арбитражного суда Северо-Кавказского округа от 21 мая 2024 года, двухмесячный срок на подачу кассационной жалобы истек 22 июля 2024 года (с учетом выходного дня), тогда как жалоба подана 30 августа 2024 года. Одновременно с подачей жалобы обществом заявлено ходатайство о восстановлении пропущенного процессуального срока со ссылкой на устранение обстоятельств, послуживших основанием для возвращения кассационной жалобы. Однако устранение обстоятельств, послуживших основанием для возвращения кассационной жалобы, не является уважительной причиной пропуска срока, установленного статьей 291.2 АПК РФ, поскольку ненадлежащая подача кассационной жалобы с нарушением требований статьи 291.3 АПК РФ не свидетельствует об уважительности причины пропуска срока и не может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с учетом требований статьи 291.3 АПК РФ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«Воронежская Нерудная Компания» в удовлетворении ходатайства о восстановлении пропущенного процессуального срока подачи кассационной жалобы на решение Арбитражного суда Краснодарского края от 30 октября 2023 года, постановление Пятнадцатого арбитражного апелляционного суда от 1 февраля 2024 года и постановление Арбитражного суда Северо-Кавказского округа от 21 мая 2024 года по делу № А32-18899/2023.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