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7 июня 2023 г. процедура реализации имущества Перфилова В.А. завершена, в отношении должника применены правила об освобождении от дальнейшего исполнения обязательств перед кредиторами. Кредитор – ООО «Свой дом» обратилось в Арбитражный суд города Москвы с заявлением о выдаче исполнительного листа на сумму непогашенной задолженности, включенной в реестр требований кредиторов должника. Определением Арбитражного суда города Москвы от 13 декабря 2023 г., оставленным без изменения постановлением Девятого арбитражного апелляционного суда от 27 февраля 2024 г. и постановлением Арбитражного суда Московского округа от 27 мая 2024 г., заявление удовлетворено, выдан исполнительный лист на взыскание с должника в пользу общества 3 998 508 рублей 30 копеек. Перфилов В.А.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руководствовались положениями пунктов 5, 6 статьи 213.28 Федерального закона от 26 октября 2002 г. № 127-ФЗ «О несостоятельности (банкротстве)» и исходили из того, что включенное в реестр требований кредиторов должника требование кредитора о возмещении должником убытков, причиненных им юридическому лицу, единоличным исполнительным органом которого он являлся, умышленно или по грубой неосторожности, что установлено вступившими в законную силу судебными актами, осталось непогашенным в процедуре банкротства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