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 сентября 2024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доводы кассационной жалобы не подтверждают наличие оснований, предусмотренных статьями 2916, 29111 Арбитражного процессуального кодекса Российской Федерации, для передачи жалобы для рассмотрения в судебном заседании Судебной коллегии Верховного Суда Российской Федерации и пересмотра обжалуемых судебных актов, поскольку не позволяют сделать вывод о том, что при рассмотрении дела допущены нарушения норм материального права и (или) норм процессуального права, приведшие к судебной ошибке существенного и непреодолимого характера. Руководствуясь статьями 2916, 2918 Арбитражного процессуального кодекса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Управлению Федеральной службы исполнения наказаний по городу Санкт-Петербургу и Ленинградской области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М.К.Антонова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