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12 февраля 2024 г. процедура реализации имущества ФИО1 завершена, должник освобождена от дальнейшего исполнения требований кредиторов. Постановлением Пятнадцатого арбитражного апелляционного суда от 2 мая 2024 г. определение суда первой инстанции в обжалуемой части оставлено без изменения. Арбитражный суд Северо-Кавказского округа постановлением от 5 июля 2024 г.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МТС Банк (подробнее) ООО "МКК "Микрозайм-СТ" (подробнее) ПАО "Сбербанк России" (подробнее) ПАО Совкомбанк (подробнее) Иные лица: Ассоциация арбитражных управляющих Саморегулируемая организация "Центральное агентство арбитражных управляющих" (подробнее) конкурсный управляющий Бельмехов Заур Халидович (подробнее) МИФНС №1 по Краснодарскому краю (подробнее) Отдел по вопросам семьи и детства по Выселковскому району (подробнее) Росрестр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