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29 августа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доводы кассационной жалобы не подтверждают наличие оснований, предусмотренных статьями 2916, 29111 Арбитражного процессуального кодекса Российской Федерации, для передачи жалобы для рассмотрения в судебном заседании Судебной коллегии Верховного Суда Российской Федерации и пересмотра обжалуемых судебных актов, поскольку не позволяют сделать вывод о том, что при рассмотрении дела допущены нарушения норм материального права и (или) норм процессуального права, приведшие к судебной ошибке существенного и непреодолимого характера. Руководствуясь статьями 2916, 2918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акционерному обществу «РОЛЬФ»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М.К.Антонова Суд: Верховный Суд РФ (подробнее) Истцы: АО "ПРАЙМ НЕДВИЖИМОСТЬ" (подробнее) Ответчики: АО "РОЛЬФ" (подробнее) Судьи дела: Антонова М.К. (судья) (подробнее)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