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исследовав и оценив представленные в материалы дела доказательства, суды первой и апелляционной инстанций, руководствуясь положениями Бюджетного кодекса Российской Федерации, Федерального закона от 29 ноября 2010г. № 326-ФЗ «Об обязательном медицинском страховании в Российской Федерации, Правилами обязательного медицинского страхования, утвержденными приказом Минздрава России от 28 февраля 2019г. № 108н, пришли к выводу о том, что оспариваемое представление Управления Федерального казначейства по Омской области соответствует положениям действующего законодательства и не нарушает права и законные интересы общества, с чем согласился суд округа. Судебные инстанции установили, что оспариваемое представление вынесено казначейством в пределах осуществляемых им полномочий, а расходы по оплате аудиторских услуг не направлены на оказание медицинской помощи в сфере ОМС и не обеспечивают потребность медицинской организации в целом для реализации территориальной программы ОМС.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«Фрезениус Медикал Кеа Омск»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"Фрезениус Медикал Кеа Омск" (подробнее) Ответчики: Управление Федерального казначейства по Омской области (подробнее) Иные лица: Арбитражный суд Западно-Сибирского округа (подробнее) Территориальный фонд обязательного медицинского страхования Омской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