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29 августа 2024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доводы кассационной жалобы не подтверждают наличие оснований, предусмотренных статьями 2916, 29111 Арбитражного процессуального кодекса Российской Федерации, для передачи жалобы для рассмотрения в судебном заседании Судебной коллегии Верховного Суда Российской Федерации и пересмотра обжалуемого судебного акта, поскольку не позволяют сделать вывод о том, что при рассмотрении дела допущены нарушения норм материального права и (или) норм процессуального права, приведшие к судебной ошибке существенного и непреодолимого характера. Руководствуясь статьями 2916, 2918 Арбитражного процессуального кодекса Российской Федерации,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обществу с ограниченной ответственностью «Оберег» в передаче кассационной жалобы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М.К.Антонова Суд: Верховный Суд РФ (подробнее) Истцы: ООО "Оберег" (подробнее) Ответчики: муниципальное казённое учреждение "Дирекция по строительству объектов транспортной инфраструктуры г. Ростова-на-Дону" (подробнее) Судьи дела: Антонова М.К. (судья) (подробнее)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