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Колчина В.Н. в Арбитражный суд города Москвы обратился финансовый управляющий имуществом должника с заявлением о признании недействительным пункта 3 договора купли-продажи квартиры от 20.10.2020, заключенного между должником и Колчиной О.Н. (продавцы) и Васильевой К.Б. (покупатель). Определением Арбитражного суда г. Москвы от 25 января 2024 г., оставленным без изменения постановлением Девятого арбитражного апелляционного суда от 13 марта 2024 г. и постановлением Арбитражного суда Московского округа от 17 июня 2024 г., признан недействительным пункт 3 договора купли-продажи квартиры, применены последствия недействительности сделки в виде взыскания с Колчиной О.Н. в конкурсную массу должника 1 970 000 рублей. Колчин В.Н. и Колчина О.Н. обратились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того, что сделка в части цены договора и распределения средств от реализации совершена с целью причинения вреда имущественным правам кредиторов, при наличии у должника признаков неплатежеспособности, с заинтересованным лицом, что свидетельствует о доказанности наличия совокупности обстоятельств, необходимой для признания ее недействительной на основании пункта 2 статьи 61.2 Федерального закона от 26 октября 2002 г. № 127-ФЗ «О несостоятельности (банкротстве)».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