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Бадина Дмитрия Александровича в Арбитражный суд Московской области обратилось ФГКУ «Росвоенипотека» с заявлением о разрешении разногласий между финансовым управляющим и залоговым кредитором относительно порядка распределения денежных средств от реализации заложенного имущества. Определением Арбитражного суда Московской области от 12.12.2023, оставленным без изменения постановлением Десятого арбитражного апелляционного суда от 14.02.2024 и постановлением Арбитражного суда Московского округа от 16.04.2024, в удовлетворении заявления отказано. ФГКУ «Росвоенипотека»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Письмом судьи Верховного Суда Российской Федерации от 05.08.2024 материалы обособленного спора истребованы из Арбитражного суда Московской области с целью проверки доводов жалобы.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с материалами истребованного обособленного спора, не установлено. При определении прав залоговых кредиторов на причитающиеся от реализации имущества должника денежные средства суды руководствовались правилом старшинства залогов (статья 342 Гражданского кодекса Российской Федерации).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