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Метельской Эльдибитты Васильевны определением Арбитражного суда Калининградской области от 17.08.2020 в реестр требований кредиторов должника включено требование Банка ВТБ (ПАО) в размере 2 399 887 695 рублей с очередностью удовлетворения в порядке, установленном статьей 138 Федерального закона от 26.10.2002 № 127-ФЗ «О несостоятельности (банкротстве)», как обеспеченное залогом имущества должника, при этом пени и неустойки подлежат удовлетворению после погашения основной суммы задолженности и причитающихся процентов. ООО «Сити Стайл» обратилось в Арбитражный суд Калининградской области с заявлением о замене банка на общество в порядке процессуального правопреемства в части суммы 373 671 377 рублей 43 копейки основного долга в реестре требований кредиторов должника. Определением Арбитражного суда Калининградской области от 15.11.2023, оставленным без изменения постановлением Тринадцатого арбитражного апелляционного суда от 08.02.2024 и постановлением Арбитражного суда Северо-Западного округа от 19.06.2024, произведена замена в порядке процессуального правопреемства банка на общество в третьей 2 очереди реестра с указанной суммой долга, подлежащей удовлетворению после полного удовлетворения требований банка по кредитному договору. ООО «Манор» обратилось в Судебную коллегию Верховного Суда Российской Федерации с кассационной жалобой и дополнением к ней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не установлено. Удовлетворяя заявление о процессуальном правопреемстве, суды руководствовались положениями статей 364, 365 Гражданского кодекса Российской Федерации, пунктом 9 постановления Пленума Верховного Суда Российской Федерации от 29.06.2023 № 26 «Об особенностях применения судами в делах о несостоятельности (банкротстве) норм о поручительстве» и исходили из того, что к поручителю по кредитному договору, частично исполнившему обязательство перед банком, перешло право требования к должнику по этому обязательству, указав на учет требования общества в реестре требований кредиторов должника, как подлежащего удовлетворению после полного удовлетворения требования банка по кредитному договору. Доводы, изложенные в кассационной жалобе и дополнении,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