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Хукеяна Тарона Эдвардовича в Арбитражный суд города Москвы обратилось ООО «ПромСтройИнвестмент» с заявлением, уточненным в порядке статьи 49 Арбитражного процессуального кодекса Российской Федерации, о признании недействительным договора купли-продажи здания от 02.09.2020, заключенного между ООО «Зеравшан» и ИП Степаржевским В.С., и применении последствий недействительности сделки. Определением Арбитражного суда города Москвы от 08.12.2023 в удовлетворении заявления отказано. Постановлением Девятого арбитражного апелляционного суда от 28.02.2024 определение суда первой инстанции оставлено без изменения. Арбитражный суд Московского округа постановлением от 18.06.2024 указанные судебные акты оставил без изменения. ООО «ПромСтройИнвестмент» и финансовый управляющий Тихомиров Д.Г.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исходили из того, что оспариваемый договор заключен по результатам проведения торгов по реализации залогового имущества в рамках процедуры банкротства ООО «Зеравшан», оплата по оспариваемому договору произведена в безналичном порядке в полном объеме, получение денежных средств подтверждено вступившим в законную силу судебным актом, в связи с полным погашением требований кредиторов процедура банкротства в отношении общества прекращена. Доводы кассационных жалоб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