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03.05.2023 (с учетом определения об исправлении опечатки от 15.05.2023) требование ПАО «Межтопэнергобанк» признано обоснованным, в отношении Забелина Александра Федоровича введена процедура реструктуризации долгов, в третью очередь реестра требований кредиторов должника включено требование банка в сумме 153 021 956 рублей 31 копейки, в том числе основной долг – 67 247 027 рублей, проценты – 42 953 400 рублей 76 копеек, расходы по уплате государственной пошлины – 60 000 рублей и неустойка – 42 761 528 рублей 55 копеек. Постановлением Восемнадцатого арбитражного апелляционного суда от 29.01.2024 определение суда первой инстанции изменено; требование банка включено в реестр в сумме 134 998 172 рублей 50 копеек, в том числе: 67 247 027 рублей – основной долг, 42 953 400 рублей 76 копеек – проценты, 60 000 рублей – расходы по уплате государственной пошлины, 24 737 744 рубля 74 копейки – неустойка. 2 Арбитражный суд Уральского округа постановлением от 16.05.2024 постановление суда апелляционной инстанции оставил без изменения. ПАО «Межтопэнергобанк» в лице конкурсного управляющего – ГК «АСВ» обратилось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руководствуясь статьями 71, 100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учитывая, что предъявленная к включению в реестр задолженность по кредитному договору включает в себя задолженность, подтвержденную вступившим в законную силу судебным актом суда общей юрисдикции, а также доначисленные проценты и неустойку за последующий период, судом общей юрисдикции при взыскании открытой неустойки не исследовались обстоятельства ее соразмерности, суд апелляционной инстанции пришел к выводу о наличии оснований для снижения неустойки на основании статьи 333 Гражданского кодекса Российской Федерации ввиду ее явной несоразмерности последствиям нарушения обязательства. Суд округа поддержал выводы суда апелляционной инстанции. Доводы кассационной жалобы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