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Забелина Александра Федоровича в Арбитражный суд Республики Башкортостан обратилось ПАО «Межтопэнергобанк» с заявлением о включении в реестр требований кредиторов должника 8 777 118 рублей 81 копейки начисленных процентов, 14 628 531 рубля 35 копеек неустойки на сумму основного долга, 10 225 720 рублей 93 копеек неустойки на невыплаченные проценты. Определением Арбитражного суда Республики Башкортостан от 21.08.2023 заявление кредитора удовлетворено. Постановлением Восемнадцатого арбитражного апелляционного суда от 30.01.2024 определение суда первой инстанции изменено в части размера неустойки, в третью очередь реестра требований кредиторов должника включена задолженность в сумме 24 770 830 рублей 15 копеек, в том числе 8 777 118 рублей 81 копейка – начисленные проценты, 15 993 711 рублей 34 копейки – неустойка. 2 Арбитражный суд Уральского округа постановлением от 16.05.2024 постановление суда апелляционной инстанции оставил без изменения. ПАО «Межтопэнергобанк» в лице конкурсного управляющего – ГК «АСВ» обратилось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руководствуясь статьями 71, 100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учитывая, что кредитор, предъявляя настоящее требование, доначислил задолженность по кредитному договору, требование рассмотрено по первичным документам, учитывая также размер ранее включенной в реестр задолженности по спорному договору, в том числе неустойки, принимая во внимание, что судом общей юрисдикции при взыскании открытой неустойки не исследовались обстоятельства ее соразмерности, суд апелляционной инстанции сделал вывод о наличии оснований для снижения неустойки на основании статьи 333 Гражданского кодекса Российской Федерации ввиду ее явной несоразмерности последствиям нарушения обязательства. Суд округа поддержал выводы суда апелляционной инстанции. Доводы кассационной жалобы не свидетельствуют о наличии существенных нарушений норм материального права и (или) процессуального 3 права и не могут служить достаточными основаниями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