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кассационной жалобой, одновременно заявив ходатайство о восстановлении срока ее подачи. Рассмотрев ходатайство, оценив изложенные в нем доводы, судья находит его подлежащим удовлетворению. Руководствуясь статьями 117, 184, 291.2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Куликовой Любови Викторовны удовлетворить. Восстановить срок подачи кассационной жалобы на определение Арбитражного суда Томской области от 29.11.2023, постановление Седьмого арбитражного апелляционного суда от 05.02.2024 и постановление Арбитражного суда Западно-Сибирского округа от 22.04.2024 по делу № А67-5150/2019.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