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Суд округа, изменяя постановление суда апелляционной инстанции и взыскивая с ответчика 37 350 рублей неустойки за просрочку поставки товара с 29.03.2022 по 31.03.2022, 124 500 рублей штрафа, руководствовался положениями статьи 521 Гражданского кодекса Российской Федерации и исходил из установленных фактических обстоятельств по делу. Суд отметил, что в системе действующего законодательства предусмотрен правовой механизм для урегулирования возникших у сторон разногласий относительно качества поставленного товара.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«Россети Ленэнерго»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"РОССЕТИ ЛЕНЭНЕРГО" (подробнее) Ответчики: ЗАО "Спецэнерготехника"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