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Нижегородской области обратился финансовый управляющий с заявлением о признании недействительными договоров займа, заключенных между должником и ФИО3 10.05.2018, 25.05.2018, 19.09.2018, а также в период с 01.01.2010 по 28.02.2021, и применении последствий недействительности сделок. Определением Арбитражного суда Нижегородской области от 29.12.2023 в удовлетворении заявления отказано. Постановлением Первого арбитражного апелляционного суда от 25.03.2024 определение суда первой инстанции оставлено без изменения. Арбитражный суд Волго-Вятского округа постановлением от 19.06.2024 указанные судебные акты оставил без изменения. Финансовый управляющий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168 , 170 , 807 , 808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обстоятельств, позволяющих квалифицировать спорные сделки в качестве мнимых либо совершенных со злоупотреблением правом, учитывая вступившие в законную силу решения суда общей юрисдикции о взыскании задолженности по спорным договорам займа, которыми установлена реальность сделок.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