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первоначально поданная заявителем кассационная жалоба на указанные судебные акты возвращена письмом Верховного Суда Российской Федерации от 16.07.2024 на основании пункта 3 части 1 статьи 291.5 Арбитражного процессуального кодекса Российской Федерации в связи с пропуском срока ее подачи и отсутствием ходатайства о его восстановлении. Настоящая кассационная жалоба подана заявителем (согласно оттиску почтового штемпеля на конверте) 12.08.2024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2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является постановление Арбитражного суда Северо-Кавказского округа от 24.04.2024, вступившее в законную силу, согласно части 5 статьи 289 АПК РФ, со дня его принятия – 24.04.2024, следовательно, двухмесячный срок на подачу кассационной жалобы истек 24.06.2024. Одновременно с подачей жалобы Калашниковой Е.А. заявлено ходатайство о восстановлении пропущенного процессуального срока. В качестве причины пропуска срока указано позднее получение копий обжалуемых судебных актов ввиду нахождения заявителя за пределами Краснодарского края. Между тем, указанное обстоятельство зависит от самого заявителя, не является уважительной причиной пропуска срока, установленного статьей 291.2 АПК РФ, и не свидетельствует о невозможности своевременного обращения с кассационной жалобой.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Калашниковой Елене Александровне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