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determination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21 августа 2024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1. Обстоятельства дела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доводы кассационной жалобы не подтверждают наличие оснований, предусмотренных статьями 2916, 29111 Арбитражного процессуального кодекса Российской Федерации, для передачи жалобы для рассмотрения в судебном заседании Судебной коллегии Верховного Суда Российской Федерации и пересмотра обжалуемых судебных актов, поскольку не позволяют сделать вывод о том, что при рассмотрении дела допущены нарушения норм материального права и (или) норм процессуального права, приведшие к судебной ошибке существенного и непреодолимого характера. Руководствуясь статьями 2916, 2918 Арбитражного процессуального кодекса Российской Федерации, судья Верховного Суда Российской Федерации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ОПРЕДЕЛИЛ: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отказать обществу с ограниченной ответственностью «Тралин ПАК ДВ» в передаче кассационной жалобы для рассмотрения в судебном заседании Судебной коллегии по экономическим спорам Верховного Суда Российской Федерации. Судья Верховного Суда Российской Федерации А.Г.Першутов Суд: Верховный Суд РФ (подробнее) Истцы: ООО "ТРАЛИН ПАК ДВ" (подробнее) Ответчики: Иркутская таможня (подробнее) Судьи дела: Першутов А.Г. (судья)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