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Костромской области обратилось АО «Центр долгового управления» с заявлением о включении требования в размере 21 580 рублей в реестр требований кредиторов должника. Определением Арбитражного суда Костромской области от 31.10.2023 производство по заявлению АО «ЦДУ» прекращено. Постановлением Второго арбитражного апелляционного суда от 14.12.2023 определение суда первой инстанции оставлено без изменения. ФИО1 обратилась в Судебную коллегию Верховного Суда Российской Федерации с кассационной жалобой на определение суда первой инстанции от 31.10.2023 и постановление апелляционного суда от 14.12.2023, указав также в качестве обжалуемого акта суда кассационной инстанции постановление Арбитражного суда Волго-Вятского округа от 05.03.2024. Однако, как следует из текста постановления Арбитражного суда Волго-Вятского округа от 05.03.2024, предметом кассационного обжалования являлись определение Арбитражного суда Костромской области от 20.10.2023 и постановление Второго арбитражного апелляционного суда от 01.12.2023 о прекращении производства по заявлению ООО МК «Экофинанс». Как следует из информации, размещенной в «Картотеке арбитражных дел» в сети Интернет, кассационной жалоба на определение суда первой инстанции от 31.10.2023 и постановление апелляционного суда от 14.12.2023 принята к производству определением Арбитражного суда Волго-Вятского округа от 23.04.2024 и назначена к рассмотрению на 10.06.2024. Учитывая, что определение суда первой инстанции от 31.10.2023 и постановление суда апелляционной инстанции от 14.12.2023 по обособленному спору о включении требования АО «ЦДУ» в реестр требований кредиторов должника не являлись предметом рассмотрения суда округа, производство по настоящей кассационной жалобе подлежит прекращению. Руководствуясь статьями 150 ,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производство по кассационной жалобе на определение Арбитражного суда Костромской области от 31.10.2023 и постановление Второго арбитражного апелляционного суда от 14.12.2023 по делу № А31-14215/2022 прекратить. Судья Верховного Суда Российской Федерации Е.Н. Зарубина Суд: Верховный Суд РФ (подробнее) Истцы: АО "ЦЕНТРДОЛГОВОГО УПРАВЛЕНИЯ" (подробнее) ОБЩЕСТВО С ОГРАНИЧЕННОЙ ОТВЕТСТВЕННОСТЬЮ "АЙДИКОЛЛЕКТ" (подробнее) ОБЩЕСТВО С ОГРАНИЧЕННОЙ ОТВЕТСТВЕННОСТЬЮ "ЭКСПРЕСС-КРЕДИТ" (подробнее) ООО "АЙДИ КОЛЛЕКТ" (подробнее) ООО Микрокредитная Компания "Капитал-К" (подробнее) ПАО "МТС-Банк" (подробнее) ПАО "Сбербанк России" (подробнее) Иные лица: ПАУ ЦФО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