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«Рефсервис» обратилось в Арбитражный суд Московской области с иском о взыскании с ООО «Восточный союз» 735 000 рублей неустойки за непроизводительный простой вагонов. Решением Арбитражного суда Московской области от 01.11.2023, оставленным без изменения постановлением Десятого арбитражного апелляционного суда от 12.01.2024 и постановлением Арбитражного суда Московского округа от 08.05.2024, иск удовлетворен. ООО «Восточный Союз»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допущенного ответчиком сверхнормативного простоя спорных вагонов, установив, что длительность простоя обусловлена действиями контрагентов ответчика и не освобождает последнего от установленной ответственности, руководствуясь положениями статей 309, 310, 329, 330, 401, 405, 406, 779, 781 Гражданского кодекса Российской Федерации, суды пришли к выводу об обоснованности иска, не усмотрев оснований для уменьшения подлежащей взысканию неустойки по правилам статьи 333 Гражданского кодекса Российской Федерации. Доводы, изложенные в кассационной жалобе, приводились при рассмотрении дела, были рассмотрены судами и мотивированно отклонены.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