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Урусова А.Е. в Арбитражный суд города Москвы обратился должник с заявлением о взыскании с финансового управляющего Матевосян В.О. 46 281 рубля 78 копеек убытков. Определением Арбитражного суда города Москвы от 15.12.2023, оставленным без изменения постановлением Девятого арбитражного апелляционного суда от 27.02.2024 и постановлением Арбитражного суда Московского округа от 23.05.2024, в удовлетворении заявления отказано. Урусов А.Е.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20.4, 20.6 Федерального закона от 26.10.2002 № 127-ФЗ «О несостоятельности (банкротстве)», статьями 15, 393 Гражданского кодекса Российской Федерации, разъяснениями, изложенными в пункте 48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 исходили из недоказанности заявителем наличия совокупности условий, необходимой для возложения на управляющего обязанности по возмещению убытков, ввиду непредставления необходимых и достаточных доказательств причинения вреда действиями (бездействием) арбитражного управляющего. Доводы, изложенные в кассационной жалобе, приводились при рассмотрении спора,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