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ИП Тищенко А.В. обратился в Арбитражный суд Воронежской области с иском о взыскании с ИП Шеина С.В. 162 496 рублей 60 копеек ущерба, причиненного утратой груза. К участию в деле в качестве третьих лиц, не заявляющих самостоятельных требований относительно предмета спора, привлечены ООО «Мотус Трак», Доценко Ю.А., ИП Горбенко К.А. Решением Арбитражного суда Воронежской области от 05.10.2023 иск удовлетворен. Постановлением Двенадцатого арбитражного апелляционного суда от 19.01.2024 решение суда первой инстанции оставлено без изменения. Арбитражный суд Центрального округа постановлением от 22.05.2024 указанные судебные акты оставил без изменения. ООО «Мотус Трак»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факт утраты груза в ходе исполнения договора перевозки и неисполнение ответчиком условий заключенного между сторонами мирового соглашения, учитывая, что размер заявленных убытков доказан, руководствуясь положениями статей 15, 393, 401, 785, 793,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правовыми позициями, изложенными в пункте 23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об обоснованности иска. Доводы кассационной жалобы были предметом рассмотрения судов и получили мотивированную оценку,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