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определением Арбитражного суда Московской области от 06.11.2023 финансовым управляющим имуществом должника утверждена ФИО3. Постановлением Десятого арбитражного апелляционного суда от 22.01.2024 определение суда первой инстанции оставлено без изменения. Арбитражный суд Московского округа постановлением от 15.04.2024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назначении финансового управляющего, суды, руководствуясь положениями статей 12, 20, 20.2, 45 Федерального закона от 26.10.2002 № 127-ФЗ «О несостоятельности (банкротстве)», разъяснениями, изложенными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выводам о необходимости определения кандидатуры арбитражного управляющего посредством случайной выборки в целях обеспечения независимости арбитражного управляющего и соблюдения баланса интересов сообщества кредиторов и должника, а также о соответствии кандидатуры ФИО3 требованиям законодательства о банкротстве.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