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исследовав и оценив представленные в материалы дела доказательства, суды первой и апелляционной инстанций, руководствуясь положениями Градостроительного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Федерального закона от 31.07.2020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предостережения, утвержденными постановлением Правительства Российской Федерации от 10.02.2017 № 166, пришли к выводу о том, что оспариваемое предостережение Департамента по надзору в строительной сфере Краснодарского края соответствует положениям действующего законодательства и не нарушает права и законные интересы заявителя, с чем согласился суд округа.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«БизнесПроект»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СЗ Бизнеспроект (подробнее) Ответчики: Департамент по надзору в строительной сфере Администрации Краснодарского края (подробнее) ДЕПАРТАМЕНТ ПО НАДЗОРУ В СТРОИТЕЛЬНОЙ СФЕРЕ КК (подробнее) Иные лица: ООО Муртазина А.А. представитель СЗ Бизнеспроект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