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обратилось в Арбитражный суд города Санкт-Петербурга и Ленинградской области с иском о взыскании с АО «Морской порт Санкт-Петербург» 565 450 рублей штрафа за превышение грузоподъемности вагона, 565 450 рублей штрафа за искажение в железнодорожной накладной сведений о массе перевозимого груза, 558 рублей добора тарифа за перевозку груза, а также почтовых расходов и расходов по уплате государственной пошлины. Решением Арбитражного суда города Санкт-Петербурга и Ленинградской области от 19.09.2023 иск удовлетворен. Постановлением Тринадцатого арбитражного апелляционного суда от 20.12.2023 решение суда первой инстанции изменено; иск удовлетворен в части взыскания 100 000 рублей штрафа за превышение грузоподъемности вагона, 100 000 рублей штрафа за искажение в транспортной железнодорожной накладной сведений о массе груза, 558 рублей добора тарифа за перевозку груза, а также почтовых расходов и расходов по уплате государственной пошлины; в остальной части в удовлетворении иска отказано. Арбитражный суд Северо-Западного округа постановлением от 15.05.2024 постановление суда апелляционной инстанции отменил и оставил в силе решение суда первой инстанции. АО «Морской порт Санкт-Петербург»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330 , 784 , 793 Гражданского кодекса Российской Федерации, Федерального закона от 10.01.2003 № 18-ФЗ «Устав железнодорожного транспорта Российской Федерации», суд первой инстанции пришел к выводу об отсутствии оснований для освобождения ответчика (грузоотправителя) от ответственности за искажение сведений о массе груза в перевозочных документах и превышение фактической массы груза над грузоподъемностью вагонов, не усмотрев оснований для снижения неустойки на основании статьи 333 ГК РФ . Окружной суд согласился с выводами суда первой инстанции. Доводы жалобы не свидетельствуют о неправильном применении норм материального и процессуального права, не подтверждают существенных нарушений норм права, повлиявших на исход дела, и не являются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ОАО "Российские железные дороги" (подробнее) Ответчики: АО "МОРСКОЙ ПОРТ Санкт-Петербург"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