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Семенова Александра Владимировича в Арбитражный суд Московской области обратился кредитор Кукушкин Вадим Олегович с заявлением, уточненным в порядке статьи 49 Арбитражного процессуального кодекса Российской Федерации, о признании недействительными сделок по перечислению должником в пользу Чурсиной Е.Б. денежных средств в размере 870 000 рублей и применении последствий недействительности сделок. Определением Арбитражного суда Московской области от 30.10.2023 заявление удовлетворено. Постановлением Десятого арбитражного апелляционного суда от 01.02.2024 определение суда первой инстанции оставлено без изменения. Арбитражный суд Московского округа постановлением от 24.04.2024 указанные судебные акты оставил без изменения. Чурсина Е.Б. обратилась в Судебную коллегию Верховного Суда Российской Федерации с кассационной жалобой на принятые по 2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оспариваемых сделок недействительными, учитывая, что оспариваемые платежи совершены в период неплатежеспособности должника, между заинтересованными лицами, в отсутствие встречного предоставления, признав недоказанным наличие между сторонами заемных отношений и наличие у ответчика финансовой возможности предоставить заем, мотивированно отклонив довод заявителя о пропуске срока исковой давности. Доводы кассационной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3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