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«Актив Банк» в лице государственной корпорации «Агентство по страхованию вкладов» обратилось в Арбитражный суд Республики Мордовия с иском к ООО «Торговля и логистика» о взыскании 63 067 431 рубля 67 копеек долга по кредитным договорам и об обращении взыскания на заложенное движимое и недвижимое имущество, принадлежащее ООО «Компания Ламзурь» и ООО «Саранский завод точных приборов». Решением Арбитражного суда Республики Мордовия от 24.03.2022, оставленным без изменения постановлением Первого арбитражного апелляционного суда от 10.08.2022, иск удовлетворен. ООО «Саранский завод точных приборов» неоднократно обращалось в Арбитражный суд Республики Мордовия с заявлениями об отсрочке исполнения решения суда в части обращения взыскания на недвижимое имущество, принадлежащее обществу. Определениями Арбитражного суда Республики Мордовия от 05.12.2022, от 23.03.2023 и от 08.06.2023 заявления были удовлетворены. Последняя отсрочка исполнения решения суда была предоставлена сроком до 01.11.2023. 2 Определением Арбитражного суда Республики Мордовия от 25.09.2023, оставленным без изменения постановлением Первого арбитражного апелляционного суда от 23.01.2024 и постановлением Арбитражного суда Волго-Вятского округа от 23.04.2024, отсрочка исполнения решения суда отменена по ходатайству банка. ООО «Саранский завод точных приборов» обратилось в Арбитражный суд Республики Мордовия с заявлением об отсрочке исполнения решения суда в части обращения взыскания на недвижимое имущество, принадлежащее обществу, на шесть месяцев. Определением Арбитражного суда Республики Мордовия от 02.11.2023, оставленным без изменения постановлением Первого арбитражного апелляционного суда от 21.02.2024 и постановлением Арбитражного суда Волго-Вятского округа от 23.04.2024, в удовлетворении заявления об отсрочке исполнения решения суда отказано. ООО «Саранский завод точных приборов» обратилось в Судебную коллегию по экономическим спорам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о предоставлении отсрочки исполнения решения суда, суды руководствовались положениями статей 16, 18, 71, 324 Арбитражного процессуального кодекса Российской Федерации, статьей 350 Гражданского кодекса Российской Федерации, статьей 37 Федерального закона от 02.10.2007 № 229-ФЗ «Об исполнительном производстве», разъяснениями, изложенными в постановлениях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от 27.06.2023 № 23 «О применении судами правил о залоге вещей». Доводы кассационной жалобы являлись предметом рассмотрения судов и получили соответствующую правовую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