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Шикова Владимира Евгеньевича Арбитражный суд Московской области рассмотрел отчет финансового управляющего о результатах проведения процедуры реализации имущества гражданина. Определением Арбитражного суда Московской области от 12.10.2023 завершена процедура реализации имущества должника, должник освобожден от дальнейшего исполнения требований кредиторов. Постановлением Десятого арбитражного апелляционного суда от 19.12.2023 определение суда первой инстанции оставлено без изменения. Арбитражный суд Московского округа постановлением от 26.04.2024 указанные судебные акты оставил без изменения. ООО «Группа компаний «Альфа и Омега»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Установив, что все мероприятия процедуры реализации имущества должника выполнены, финансовым управляющим приняты меры по поиску и выявлению имущества должника, конкурсная масса сформирована не была ввиду отсутствия имущества должника, не выявив возможности восстановления платежеспособности должника-гражданина, признаков фиктивного или преднамеренного банкротства, неразумного и недобросовестного поведения должника, руководствуясь положениями статей 213.2, 213.25, 213.28 Федерального закона от 26.10.2002 № 127-ФЗ «О несостоятельности (банкротстве)», суды завершили процедуру банкротства в отношении должника, освободив его от дальнейшего исполнения обязательств перед кредиторами. Доводы кассационной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