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«Панорама»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"Панорама" (подробнее) Ответчики: МКУ "Отдел капитального строительства Кудымкарского МО Пермского края" (подробнее) Муниципальное казенное учреждение "Отдел капитального строительства г.Кудымкара" (подробнее) Иные лица: Арбитражный суд Пермского края (финансовый отдел) (подробнее) Арбитражный суд Уральского округа (подробнее) Кудымкарский городской суд Пермского края (подробнее) Кудымкарский межрайонный следственный отдел СУ СК России по Пермскому краю (подробнее) Межмуниципальный отдел МВД России "Кудымкарский", ст. следователь Попов Д.А. (подробнее) Межмуниципальный отдел МВД России "Кудымкарский", ст. следователю Попову Д.А. (подробнее) Межрайонная ИФНС №21 по Пермскому краю (подробнее) ООО "Пермский институт "Бумпромпроект", экспертам Новикову А.Ю., Исаевой Т.М., Тырцеву Н.И., Ефимовой И.В. (подробнее) Семнадцатый арбитражный апелляционный суд (подробнее) Федеральная служба по экологическому, технологическому и атомному надзору (Ростехнадзор)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