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Ионова Владимира Викторовича в Арбитражный суд Московской области обратилось АО КБ «Рублев» в лице ГК «АСВ» с заявлением о признании включенной в реестр требований кредиторов должника задолженности по кредитному договору общим обязательством супругов Ионовых. Определением Арбитражного суда Московской области от 18.10.2023 заявление удовлетворено. Постановлением Десятого арбитражного апелляционного суда от 12.02.2024 определение суда первой инстанции отменено, в удовлетворении заявления АО КБ «Рублев» отказано. Арбитражный суд Московского округа постановлением от 15.05.2024 постановление суда апелляционной инстанции отменил и оставил в силе определение суда первой инстанции. Ионова Т.В. обратилась в Судебную коллегию по экономическим спорам Верховного Суда Российской Федерации с кассационной жалобой на определение суда первой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первой инстанции руководствовался положениями статьи 45 Семейного кодекса Российской Федерации и исходил из представления банком доказательств, свидетельствующих о наличии обстоятельств, достаточных для признания долга общим обязательством супругов, и отсутствия доказательств личного характера данного обязательства. Окружной суд согласился с выводами суда первой инстанции.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