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Нестерова Ю.Л. в Арбитражный суд города Москвы обратился должник с заявлением об исключении имущества из конкурсной массы. Определением Арбитражного суда города Москвы от 26.10.2022, оставленным без изменения постановлением Девятого арбитражного апелляционного суда от 26.12.2022, из состава конкурсной массы исключены нежилой дом, баня, гараж и автомобиль. Постановлением Арбитражного суда Московского округа от 13.03.2023 указанные судебные акты отменены, обособленный спор направлен на новое рассмотрение в суд первой инстанции. По результатам нового рассмотрения определением Арбитражного суда города Москвы от 25.10.2023, оставленным без изменения постановлением Девятого арбитражного апелляционного суда от 27.12.2023 и постановлением Арбитражного суда Московского округа от 22.04.2024, в удовлетворении заявления должника отказано. Нестеров Ю.Л.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статьей 213.25 Федерального закона от 26.10.2002 № 127-ФЗ «О несостоятельности (банкротстве)», статьей 446 Гражданского процессуального кодекса Российской Федерации, статьей 34 Семейного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спорное имущество является совместной собственностью супругов и не подлежит исключению из конкурсной массы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