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Коми от 27.12.2023, оставленным без изменения постановлением Второго арбитражного апелляционного суда от 01.03.2024 и постановлением Арбитражного суда Волго-Вятского округа от 21.05.2024, завершена процедура реализации имущества Размыслова С.В. и должник освобожден от дальнейшего исполнения требований кредиторов, в том числе требований кредиторов, не заявленных при введении реализации имущества гражданина, за исключением требования ООО «МКК «Капиталина», включенного в реестр требований кредиторов должника в сумме 24 875 рублей. Размыслов С.В.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кредитором.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