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«Российские железные дороги» обратилось в Арбитражный суд Московской области с иском о взыскании с ООО «Транспортные технологии» 188 320 рублей штрафа за искажение в транспортной железнодорожной накладной сведений о массе груза. К участию в деле в качестве третьего лица, не заявляющего самостоятельных требований относительно предмета спора, привлечено ООО «Первый промышленный оператор». Решением Арбитражного суда Московской области от 17.10.2023 иск удовлетворен. Постановлением Десятого арбитражного апелляционного суда от 12.01.2024 решение суда первой инстанции оставлено без изменения. Арбитражный суд Московского округа постановлением от 19.04.2024 указанные судебные акты оставил без изменения. ООО «Первый промышленный оператор»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309, 310, 785, 793 Гражданского кодекса Российской Федерации, положениями статьи 98 Федерального закона от 10.01.2003 № 18-ФЗ «Устав железнодорожного транспорта Российской Федерации», Правилами приема грузов, порожних грузовых вагонов к перевозке железнодорожным транспортом, утвержденными приказом Минтранса России от 07.12.2016 № 374, суды пришли к выводу о доказанности факта искажения грузоотправителем в железнодорожной накладной сведений о массе перевозимого груза.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