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06.08.2024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судья признает их уважительными. Поскольку ходатайство о восстановлении пропущенного процессуального срока заявлено в пределах установленного процессуальным законом пресекательного срока, причины пропуска срока признаны судом уважительными, данное ходатайство подлежит удовлетворению. Руководствуясь статьями 117, 184, 185,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«Компания «Экспо- Мир» удовлетворить, пропущенный срок на подачу кассационной жалобы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