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02.08.2024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Изучение судебной практики для целей подготовки кассационной жалобы само по себе не может являться уважительной причиной пропуска срока и не может служить самостоятельным основанием для его восстановления. Лица, участвующие в деле, несут риск наступления последствий совершения или несовершения ими процессуальных действий (часть 2 статьи 9 Арбитражного процессуального кодекса Российской Федерации). Произвольное восстановление процессуального срока на обжалование судебного акта нарушало бы принцип равноправия сторон, установленный статьей 8 Арбитражного процессуального кодекса Российской Федерации. В связи с тем, что причины пропуска срока на подачу кассационной жалобы не признаны уважительными и не зависящими от заявителя, оснований для восстановления срока не имеется. Руководствуясь статьями 117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«СпецПромТкань»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Истцы: АО "103 бронетанковый ремонтный завод" (подробнее) Ответчики: ООО "СпецПромТкань"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