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05.08.2024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Ранее заявитель неоднократно обращался в Верховный Суд Российской Федерации с кассационными жалобами на указанные судебные акты. Причиной возвращения жалоб без рассмотрения явились уплата государственной пошлины в размере менее установленного, отсутствие документа, подтверждающего высшее юридическое образование представителя или наличие у него ученой степени по юридической специальности, неподписание ходатайства о восстановлении срока. По смыслу статьи 2913 Арбитражного процессуального кодекса Российской Федерации именно на заявителе лежит обязанность в установленный процессуальный срок составить жалобу в соответствии с необходимыми требованиями и приложить к ней перечисленные в указанной статье документы.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Произвольное восстановление процессуального срока на обжалование судебного акта нарушало бы принцип равноправия сторон, установленный статьей 8 Арбитражного процессуального кодекса Российской Федерации. В связи с тем, что причины пропуска срока на подачу кассационной жалобы не признаны уважительными и не зависящими от заявителя, оснований для восстановления срока не имеется.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Ли Розалия (подробнее) Ответчики: УФНС РОССИИ ПО САХАЛИНСКОЙ ОБЛ.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