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16.12.2022 требования кредитора в размере 28 102 977 рублей 45 копеек основного долга, 5 418 870 рублей 01 копейки процентов и 5 165 973 рублей 21 копейки неустойки включены в третью очередь реестра. Одиннадцатый арбитражный апелляционный суд постановлением от 22.02.2023 изменил определение от 16.12.2022, указав, что требования подлежат удовлетворению в составе третьей очереди после погашения требований ФИО3 Арбитражный суд Поволжского округа постановлением от 18.05.2023 постановление апелляционного суда от 22.02.2023 оставил без изменения. В кассационной жалобе ФИО1 просит об отмене постановлений апелляционного и окружного судов, ссылаясь на неправомерное понижение очередности.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правомерно исходили из того, что заявитель, обеспечивая исполнение обязательства должника, наряду с ним является должником перед кредитором по основному обязательству, поэтому в случае исполнения обязательства за должника не может получить от него удовлетворения ранее кредитора. Иное видение последствий исполнения обеспечительной сделки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Иные лица: Арбитражный суд Поволжского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