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Церковникова Вадима Михайловича в Арбитражный суд города Москвы обратился финансовый управляющий с заявлением о признании недействительным договора дарения квартиры от 27.12.2019, заключенного между Церковниковой Маргаритой Георгиевной и Церковниковой Анной Вадимовной, и применении последствий недействительности сделки. Определением Арбитражного суда города Москвы от 05.12.2023 заявление удовлетворено, признан недействительным договор дарения, применены последствия недействительности сделки в виде возврата имущества в конкурсную массу должника. Постановлением Девятого арбитражного апелляционного суда от 13.02.2024 определение суда первой инстанции оставлено без изменения. Арбитражный суд Московского округа постановлением от 18.04.2024 указанные судебные акты оставил без изменения. Церковникова А.В.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установив, что сделка совершена супругой должника в период его неплатежеспособности, безвозмездно, в отношении заинтересованного лица, в целях вывода ликвидного имущества, в отсутствие какого-либо встречного предоставления, в результате чего причинен вред имущественным правам кредиторов.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