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Елисеевой Н.М. в Арбитражный суд города Санкт-Петербурга и Ленинградской области обратился финансовый управляющий имуществом должника с заявлением об утверждении Положения о порядке, сроках и условиях реализации имущества должника. Должник обратилась в Арбитражный суд города Санкт-Петербурга и Ленинградской области с ходатайством об исключении из конкурсной массы хозяйственного блока, земельного участка и автомобиля. Определением Арбитражного суда города Санкт-Петербурга и Ленинградской области от 16.10.2023, оставленным без изменения постановлением Тринадцатого арбитражного апелляционного суда от 19.12.2023 и постановлением Арбитражного суда Северо-Западного округа от 22.04.2024, в удовлетворении заявления об исключении имущества из конкурсной массы отказано; утверждено Положение о порядке, сроках и условиях реализации имущества должника в редакции, предложенной финансовым управляющим. 2 Елисеева Н.М.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руководствовались статьями 213.25, 213.26 Федерального закона от 26.10.2002 № 127-ФЗ «О несостоятельности (банкротстве)», статьей 446 Гражданского процессуального кодекса Российской Федерации и исходили из отсутствия доказательств отнесения спорного имущества к имуществу, на которое не может быть обращено взыскание в соответствии с гражданским и семейным законодательством.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