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на указанные судебные акты возвращена определением судьи Верховного Суда Российской Федерации от 24.06.2024 на основании пункта 1 части 1 статьи 291.5 Арбитражного процессуального кодекса Российской Федерации (далее - АПК РФ) в связи с отказом в удовлетворении ходатайства об отсрочке уплаты государственной пошлины за подачу кассационной жалобы ввиду отсутствия документов, свидетельствующих об имущественном положении заявителя на момент подачи жалобы. Повторная кассационная жалоба также возвращена заявителю определением судьи Верховного Суда Российской Федерации от 25.07.2024 в связи с отказом в удовлетворении ходатайства об отсрочке уплаты государственной пошлины ввиду отсутствия документов, свидетельствующих об имущественном положении заявителя на момент подачи жалобы. Настоящая кассационная жалоба подана обществом в электронном виде 02.08.2024 –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2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является постановление Арбитражного суда Западно-Сибирского округа от 25.04.2024, вступившее в законную силу, согласно части 5 статьи 289 АПК РФ, со дня его принятия – 25.04.2024, следовательно, двухмесячный срок на подачу кассационной жалобы истек 25.06.2024, тогда как жалоба подана 02.08.2024. Одновременно с подачей жалобы обществом заявлено ходатайство о восстановлении пропущенного процессуального срока. В качестве причины пропуска срока указано устранение причин, послуживших основанием для возвращения кассационной жалобы. Между тем, указанное обстоятельство не является уважительной причиной пропуска срока, установленного статьей 291.2 АПК РФ, поскольку ненадлежащая подача (первоначальная и повторная) кассационной жалобы и последующее – после истечения срока на подачу кассационной жалобы представление документов, свидетельствующих об имущественном положении заявителя, не свидетельствуют об уважительности причины пропуска срока подачи жалобы и не могут продлевать процессуальный срок. Положения части 3 статьи 291.5 АПК РФ о том, что возвращение кассационной жалобы не препятствует повторному обращению с кассационной жалобой, не отменяют требований части 2 статьи 291.2 АПК РФ о том, что срок подачи кассационной жалобы подлежит восстановлению в случае его пропуска по причинам, не зависящим от лица, обратившегося с такой жалобой. Надлежащее оформление кассационной жалобы и ее своевременная подача зависят исключительно от самого заявителя.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ООО «МегаМакс» в удовлетворении ходатайства о восстановлении пропущенного процессуального срока подачи кассационной жалобы. Жалобу возвратить без рассмотрения по существу.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