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«СпецТеплоСтрой» обратилось в Арбитражный суд Челябинской области с иском, уточненным в порядке статьи 49 Арбитражного процессуального кодекса Российской Федерации, о взыскании с ООО «Группа Компаний «Урал» 1 249 360 рублей задолженности по договору транспортной экспедиции от 21.08.2019 № 47/2019, 589 073 рублей 24 копеек неустойки, 1 491 964 рублей 80 копеек расходов по оплате провозной платы. К участию в деле в качестве третьих лиц, не заявляющих самостоятельных требований относительно предмета спора, привлечены ОАО «Российские железные дороги», ПАО «Магнитогорский металлургический комбинат», ООО «Нерудный логистический центр», ООО «Транспортно-экспедиционная компания Магнитогорского металлургического комбината». Решением Арбитражного суда Челябинской области от 09.06.2023 иск удовлетворен. Постановлением Восемнадцатого арбитражного апелляционного суда от 02.10.2023 решение суда первой инстанции оставлено без изменения. 2 Арбитражный суд Уральского округа постановлением от 16.04.2024 указанные судебные акты оставил без изменения. ООО «Группа Компаний «Урал»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 факт оказания услуг и ненадлежащее исполнение ответчиком обязательств по их оплате, исходя из согласованной сторонами ставки экспедитора, а также внесение экспедитором провозной платы ввиду ненадлежащего исполнения ответчиком условий договора, руководствуясь статьями 15, 309, 310, 329, 330, 333, 784, 801 Гражданского кодекса Российской Федерации, положениями Федерального закона от 30.06.2003 № 87-ФЗ «О транспортно-экспедиционной деятельности»,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об обоснованности иска. Доводы, изложенные в кассационной жалобе, были предметом рассмотрения судов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